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JACEK SZERSZENOWICZ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... jak gilotyna ...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szkic do topografii teatru instrumentalnego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Teatr instrumentalny nale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>y do szerszego zjawiska muzyki audiowizualnej. Pozad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ź</w:t>
      </w:r>
      <w:r>
        <w:rPr>
          <w:rFonts w:ascii="Times New Roman" w:hAnsi="Times New Roman"/>
          <w:b w:val="1"/>
          <w:bCs w:val="1"/>
          <w:rtl w:val="0"/>
          <w:lang w:val="en-US"/>
        </w:rPr>
        <w:t>wi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kowe elementy istniej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ą </w:t>
      </w:r>
      <w:r>
        <w:rPr>
          <w:rFonts w:ascii="Times New Roman" w:hAnsi="Times New Roman"/>
          <w:b w:val="1"/>
          <w:bCs w:val="1"/>
          <w:rtl w:val="0"/>
          <w:lang w:val="en-US"/>
        </w:rPr>
        <w:t>w ka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>dej sytuacji tworzenia lub wykonywania muzyki, ale 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ą </w:t>
      </w:r>
      <w:r>
        <w:rPr>
          <w:rFonts w:ascii="Times New Roman" w:hAnsi="Times New Roman"/>
          <w:b w:val="1"/>
          <w:bCs w:val="1"/>
          <w:rtl w:val="0"/>
          <w:lang w:val="en-US"/>
        </w:rPr>
        <w:t>zwykle traktowane jako wt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rne i nie podlegaj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ce komponowania.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Kompozycja audiowizualna traktuje sk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adnik wizualny w spos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 xml:space="preserve">b intencjonalny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jako 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nik istotnych informacji artystycznych, kszta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towanych niezale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nie od cech d</w:t>
      </w:r>
      <w:r>
        <w:rPr>
          <w:rFonts w:ascii="Times New Roman" w:hAnsi="Times New Roman" w:hint="default"/>
          <w:rtl w:val="0"/>
          <w:lang w:val="en-US"/>
        </w:rPr>
        <w:t>ź</w:t>
      </w:r>
      <w:r>
        <w:rPr>
          <w:rFonts w:ascii="Times New Roman" w:hAnsi="Times New Roman"/>
          <w:rtl w:val="0"/>
          <w:lang w:val="en-US"/>
        </w:rPr>
        <w:t>wi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kowych. Organizacja materia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u d</w:t>
      </w:r>
      <w:r>
        <w:rPr>
          <w:rFonts w:ascii="Times New Roman" w:hAnsi="Times New Roman" w:hint="default"/>
          <w:rtl w:val="0"/>
          <w:lang w:val="en-US"/>
        </w:rPr>
        <w:t>ź</w:t>
      </w:r>
      <w:r>
        <w:rPr>
          <w:rFonts w:ascii="Times New Roman" w:hAnsi="Times New Roman"/>
          <w:rtl w:val="0"/>
          <w:lang w:val="en-US"/>
        </w:rPr>
        <w:t>wi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kowego nie ma w tych utworach sensu autonomicznego, ale tworzy z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on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 xml:space="preserve">konstrukcji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obejmuj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cej 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wnie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owa, gesty i gr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aktorsk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. Relacje mi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dzy sk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adnikami s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uchowymi i wzrokowymi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 xml:space="preserve">traktowane jako rodzaj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interwa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u audiowizualnego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- kszta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towanego na zasadzie zgodno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lub opozycji cech.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Zdaniem Schaeffera, akcje wizualne mog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to by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dzia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aniami w obr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bie muzyki, towarzysz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ce muzyce, lub kierowane przeciw muzyce. Mog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przybiera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form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nie-muzyczn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(dzia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</w:t>
      </w:r>
      <w:r>
        <w:rPr>
          <w:rFonts w:ascii="Times New Roman" w:hAnsi="Times New Roman" w:hint="default"/>
          <w:rtl w:val="0"/>
          <w:lang w:val="en-US"/>
        </w:rPr>
        <w:t xml:space="preserve">ń </w:t>
      </w:r>
      <w:r>
        <w:rPr>
          <w:rFonts w:ascii="Times New Roman" w:hAnsi="Times New Roman"/>
          <w:rtl w:val="0"/>
          <w:lang w:val="en-US"/>
        </w:rPr>
        <w:t>poetyckich, plastycznych, filozoficznych), anty-muzycznych (sprzeciwiaj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kanonom i zwyczajom artystycznym), trans-muzycznych (pomi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dzy muzyk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i czym</w:t>
      </w:r>
      <w:r>
        <w:rPr>
          <w:rFonts w:ascii="Times New Roman" w:hAnsi="Times New Roman" w:hint="default"/>
          <w:rtl w:val="0"/>
          <w:lang w:val="en-US"/>
        </w:rPr>
        <w:t xml:space="preserve">ś </w:t>
      </w:r>
      <w:r>
        <w:rPr>
          <w:rFonts w:ascii="Times New Roman" w:hAnsi="Times New Roman"/>
          <w:rtl w:val="0"/>
          <w:lang w:val="en-US"/>
        </w:rPr>
        <w:t>innym), metamuzycznych (ponad-muzyk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). Efekt jest tym bardzie atrakcyjny, im bardziej muzyczna jest koncepcja operowania materia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em heteronomicznym.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nymi sk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adnikami teatru instrumentalnego Schaeffera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b w:val="1"/>
          <w:bCs w:val="1"/>
          <w:rtl w:val="0"/>
          <w:lang w:val="en-US"/>
        </w:rPr>
        <w:t>relacje psychologiczne mi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dzy uczestnikami gry oraz socjologiczne i filozoficzne problemy sztuki.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Z wypowiedzi Autora mo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emy wyprowadzi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szereg tez okre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laj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cych specyfik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teatru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rtl w:val="0"/>
          <w:lang w:val="en-US"/>
        </w:rPr>
        <w:t xml:space="preserve">instrumentalnego: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- nale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 do niego wszystko, co ma jakikolwiek zwi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zek z muzyk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en-US"/>
        </w:rPr>
        <w:t>- wizualnym przejawem muzyki mo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by</w:t>
      </w:r>
      <w:r>
        <w:rPr>
          <w:rFonts w:ascii="Times New Roman" w:hAnsi="Times New Roman" w:hint="default"/>
          <w:rtl w:val="0"/>
          <w:lang w:val="en-US"/>
        </w:rPr>
        <w:t>ć</w:t>
      </w:r>
      <w:r>
        <w:rPr>
          <w:rFonts w:ascii="Times New Roman" w:hAnsi="Times New Roman"/>
          <w:rtl w:val="0"/>
          <w:lang w:val="en-US"/>
        </w:rPr>
        <w:t>: instrumentalista (nawet kiedy nie gra), udaj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cy muzyka, aktor, malarz czy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tancerz;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 - e</w:t>
      </w:r>
      <w:r>
        <w:rPr>
          <w:rFonts w:ascii="Times New Roman" w:hAnsi="Times New Roman"/>
          <w:rtl w:val="0"/>
          <w:lang w:val="en-US"/>
        </w:rPr>
        <w:t>lementy teatralne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traktowane w spos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b muzyczny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- </w:t>
      </w:r>
      <w:r>
        <w:rPr>
          <w:rFonts w:ascii="Times New Roman" w:hAnsi="Times New Roman"/>
          <w:rtl w:val="0"/>
          <w:lang w:val="en-US"/>
        </w:rPr>
        <w:t>powinny by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 xml:space="preserve">zintegrowane zgodnie z prawami muzycznymi,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- dla ka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dego utworu okre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lane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odr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bne zasady muzycznej integracji (brak konwencji uniwersalnej);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rtl w:val="0"/>
          <w:lang w:val="en-US"/>
        </w:rPr>
        <w:t>- w obr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bie pojedynczej kompozycji mog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by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stosowane r</w:t>
      </w:r>
      <w:r>
        <w:rPr>
          <w:rFonts w:ascii="Times New Roman" w:hAnsi="Times New Roman" w:hint="default"/>
          <w:rtl w:val="0"/>
          <w:lang w:val="en-US"/>
        </w:rPr>
        <w:t>óż</w:t>
      </w:r>
      <w:r>
        <w:rPr>
          <w:rFonts w:ascii="Times New Roman" w:hAnsi="Times New Roman"/>
          <w:rtl w:val="0"/>
          <w:lang w:val="en-US"/>
        </w:rPr>
        <w:t>ne zasady.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rtl w:val="0"/>
          <w:lang w:val="en-US"/>
        </w:rPr>
        <w:t>- najistotniejszym momentem w teatrze instrumentalnym jest sama akcja, przy czym w skrajnych przypadkach proporcje mi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dzy pierwiastki wzrokowe mog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by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dominuj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ce.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